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88"/>
      </w:tblGrid>
      <w:tr w:rsidR="0007685A" w:rsidRPr="00273693" w14:paraId="3AE88D7B" w14:textId="77777777" w:rsidTr="002270CD">
        <w:tc>
          <w:tcPr>
            <w:tcW w:w="15388" w:type="dxa"/>
            <w:shd w:val="clear" w:color="auto" w:fill="8EAADB" w:themeFill="accent1" w:themeFillTint="99"/>
          </w:tcPr>
          <w:p w14:paraId="62206175" w14:textId="1FB862DC" w:rsidR="0007685A" w:rsidRPr="00273693" w:rsidRDefault="00F10086" w:rsidP="0007685A">
            <w:pPr>
              <w:pStyle w:val="TableTitle"/>
              <w:spacing w:before="120" w:after="120"/>
              <w:jc w:val="center"/>
              <w:rPr>
                <w:sz w:val="48"/>
                <w:szCs w:val="22"/>
              </w:rPr>
            </w:pPr>
            <w:bookmarkStart w:id="0" w:name="_Hlk32083017"/>
            <w:r w:rsidRPr="001F6D76">
              <w:rPr>
                <w:b w:val="0"/>
                <w:bCs/>
                <w:noProof/>
                <w:color w:val="FFFFFF" w:themeColor="background1"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484A782" wp14:editId="18F0D315">
                  <wp:simplePos x="0" y="0"/>
                  <wp:positionH relativeFrom="column">
                    <wp:posOffset>8629650</wp:posOffset>
                  </wp:positionH>
                  <wp:positionV relativeFrom="paragraph">
                    <wp:posOffset>34925</wp:posOffset>
                  </wp:positionV>
                  <wp:extent cx="713105" cy="7499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6D76">
              <w:rPr>
                <w:b w:val="0"/>
                <w:bCs/>
                <w:noProof/>
                <w:color w:val="FFFFFF" w:themeColor="background1"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5710812" wp14:editId="2C4F67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713105" cy="74993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10EF">
              <w:rPr>
                <w:sz w:val="48"/>
                <w:szCs w:val="22"/>
              </w:rPr>
              <w:t xml:space="preserve">         </w:t>
            </w:r>
            <w:r>
              <w:rPr>
                <w:sz w:val="48"/>
                <w:szCs w:val="22"/>
              </w:rPr>
              <w:t>Dipt</w:t>
            </w:r>
            <w:r w:rsidR="00F910EF">
              <w:rPr>
                <w:sz w:val="48"/>
                <w:szCs w:val="22"/>
              </w:rPr>
              <w:t xml:space="preserve">ford </w:t>
            </w:r>
            <w:r w:rsidR="00273693" w:rsidRPr="00273693">
              <w:rPr>
                <w:sz w:val="48"/>
                <w:szCs w:val="22"/>
              </w:rPr>
              <w:t>C of E Primary School</w:t>
            </w:r>
            <w:r w:rsidR="00F910EF">
              <w:rPr>
                <w:sz w:val="48"/>
                <w:szCs w:val="22"/>
              </w:rPr>
              <w:t xml:space="preserve">         </w:t>
            </w:r>
          </w:p>
          <w:p w14:paraId="67CCB061" w14:textId="6451E8F7" w:rsidR="0007685A" w:rsidRPr="00F10086" w:rsidRDefault="003D6329" w:rsidP="003D6329">
            <w:pPr>
              <w:pStyle w:val="TableTitle"/>
              <w:spacing w:before="120" w:after="120"/>
              <w:jc w:val="center"/>
              <w:rPr>
                <w:color w:val="FFFFFF" w:themeColor="background1"/>
                <w:sz w:val="40"/>
                <w:szCs w:val="22"/>
              </w:rPr>
            </w:pPr>
            <w:r w:rsidRPr="00F10086">
              <w:rPr>
                <w:color w:val="FFFFFF" w:themeColor="background1"/>
                <w:sz w:val="40"/>
                <w:szCs w:val="22"/>
              </w:rPr>
              <w:t>EYFS</w:t>
            </w:r>
            <w:r w:rsidR="009F1B1B" w:rsidRPr="00F10086">
              <w:rPr>
                <w:color w:val="FFFFFF" w:themeColor="background1"/>
                <w:sz w:val="40"/>
                <w:szCs w:val="22"/>
              </w:rPr>
              <w:t xml:space="preserve"> </w:t>
            </w:r>
            <w:r w:rsidR="00F10086">
              <w:rPr>
                <w:color w:val="FFFFFF" w:themeColor="background1"/>
                <w:sz w:val="40"/>
                <w:szCs w:val="22"/>
              </w:rPr>
              <w:t>Curriculum Plan</w:t>
            </w:r>
          </w:p>
          <w:p w14:paraId="56EF71AB" w14:textId="7FB542B2" w:rsidR="00F10086" w:rsidRPr="00273693" w:rsidRDefault="00F10086" w:rsidP="003D6329">
            <w:pPr>
              <w:pStyle w:val="TableTitle"/>
              <w:spacing w:before="120" w:after="120"/>
              <w:jc w:val="center"/>
              <w:rPr>
                <w:color w:val="FFFFFF" w:themeColor="background1"/>
                <w:sz w:val="32"/>
                <w:szCs w:val="22"/>
              </w:rPr>
            </w:pPr>
          </w:p>
        </w:tc>
      </w:tr>
      <w:bookmarkEnd w:id="0"/>
      <w:tr w:rsidR="005D01D8" w:rsidRPr="00273693" w14:paraId="196B049D" w14:textId="77777777" w:rsidTr="002270CD">
        <w:trPr>
          <w:trHeight w:val="361"/>
        </w:trPr>
        <w:tc>
          <w:tcPr>
            <w:tcW w:w="15388" w:type="dxa"/>
            <w:shd w:val="clear" w:color="auto" w:fill="B4C6E7" w:themeFill="accent1" w:themeFillTint="66"/>
          </w:tcPr>
          <w:p w14:paraId="2128AC3C" w14:textId="77777777" w:rsidR="005D01D8" w:rsidRPr="00F67E25" w:rsidRDefault="00117B82" w:rsidP="00326E82">
            <w:pPr>
              <w:pStyle w:val="TableTitle"/>
              <w:spacing w:before="120" w:after="120"/>
              <w:rPr>
                <w:i/>
                <w:sz w:val="24"/>
                <w:szCs w:val="24"/>
              </w:rPr>
            </w:pPr>
            <w:r w:rsidRPr="00F9501A">
              <w:rPr>
                <w:sz w:val="24"/>
                <w:szCs w:val="24"/>
              </w:rPr>
              <w:t>I</w:t>
            </w:r>
            <w:r w:rsidR="005D01D8" w:rsidRPr="00F9501A">
              <w:rPr>
                <w:sz w:val="24"/>
                <w:szCs w:val="24"/>
              </w:rPr>
              <w:t>ntent</w:t>
            </w:r>
          </w:p>
          <w:p w14:paraId="21461A48" w14:textId="44506802" w:rsidR="00F67E25" w:rsidRPr="00F67E25" w:rsidRDefault="00F67E25" w:rsidP="00F67E25">
            <w:r w:rsidRPr="00F67E25">
              <w:rPr>
                <w:rFonts w:ascii="Arial" w:hAnsi="Arial" w:cs="Arial"/>
                <w:i/>
              </w:rPr>
              <w:t>The following statement is the product of shared discussion around our passion, rationale and intent for Early Years at Diptford C of E Primary School</w:t>
            </w:r>
            <w:r w:rsidRPr="00F67E25">
              <w:rPr>
                <w:rFonts w:ascii="Arial" w:hAnsi="Arial" w:cs="Arial"/>
                <w:i/>
              </w:rPr>
              <w:t>:</w:t>
            </w:r>
          </w:p>
        </w:tc>
      </w:tr>
      <w:tr w:rsidR="00326E82" w:rsidRPr="00642445" w14:paraId="76AB2EA1" w14:textId="77777777" w:rsidTr="002270CD">
        <w:trPr>
          <w:trHeight w:val="622"/>
        </w:trPr>
        <w:tc>
          <w:tcPr>
            <w:tcW w:w="15388" w:type="dxa"/>
          </w:tcPr>
          <w:p w14:paraId="256F110A" w14:textId="77777777" w:rsidR="00F81E22" w:rsidRDefault="00F81E22" w:rsidP="009538B5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B1E0FD5" w14:textId="77777777" w:rsidR="009538B5" w:rsidRDefault="009538B5" w:rsidP="009538B5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At Diptford C of E Primary School, our intent is that every opportunity for learning is seized and everything is a learning opportunity.  We are passionate about child-lead learning and intend that it leads the way until the moment is right for adults to intervene, support and extend.  We have a commitment to personalised learning </w:t>
            </w:r>
            <w:r>
              <w:rPr>
                <w:rFonts w:ascii="Arial" w:hAnsi="Arial" w:cs="Arial"/>
                <w:i/>
                <w:sz w:val="24"/>
                <w:szCs w:val="24"/>
              </w:rPr>
              <w:t>and w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e integrate flexibility </w:t>
            </w:r>
            <w:r>
              <w:rPr>
                <w:rFonts w:ascii="Arial" w:hAnsi="Arial" w:cs="Arial"/>
                <w:i/>
                <w:sz w:val="24"/>
                <w:szCs w:val="24"/>
              </w:rPr>
              <w:t>int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>o our approach to enab</w:t>
            </w:r>
            <w:bookmarkStart w:id="1" w:name="_GoBack"/>
            <w:bookmarkEnd w:id="1"/>
            <w:r w:rsidRPr="00D42E4A">
              <w:rPr>
                <w:rFonts w:ascii="Arial" w:hAnsi="Arial" w:cs="Arial"/>
                <w:i/>
                <w:sz w:val="24"/>
                <w:szCs w:val="24"/>
              </w:rPr>
              <w:t>le us to respond in the moment, to the moment</w:t>
            </w:r>
            <w:r>
              <w:rPr>
                <w:rFonts w:ascii="Arial" w:hAnsi="Arial" w:cs="Arial"/>
                <w:i/>
                <w:sz w:val="24"/>
                <w:szCs w:val="24"/>
              </w:rPr>
              <w:t>.  This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 is underpinned by our exciting curriculum </w:t>
            </w:r>
            <w:r>
              <w:rPr>
                <w:rFonts w:ascii="Arial" w:hAnsi="Arial" w:cs="Arial"/>
                <w:i/>
                <w:sz w:val="24"/>
                <w:szCs w:val="24"/>
              </w:rPr>
              <w:t>which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 inspires a love of learning, curiosity and our natural world, and facilitates excellent progress towards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Early Learning Goals.  Pupil voice and reciprocal listening is central to </w:t>
            </w:r>
            <w:r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caring nature of our 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setting and part of our success; pupils are heard and valued. Strong relationships are fundamental, and we seek to know our children and their families deeply. </w:t>
            </w:r>
            <w:r>
              <w:rPr>
                <w:rFonts w:ascii="Arial" w:hAnsi="Arial" w:cs="Arial"/>
                <w:i/>
                <w:sz w:val="24"/>
                <w:szCs w:val="24"/>
              </w:rPr>
              <w:t>We intend that t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hese relationships foster trust and enable our pupils to take risks within safe and secure boundaries that they are involved in deciding.  </w:t>
            </w:r>
            <w:r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>his leads the way to successful transition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and preparation for their next stages, including learning about our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school 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 xml:space="preserve">values and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becoming part of </w:t>
            </w:r>
            <w:r w:rsidRPr="00D42E4A">
              <w:rPr>
                <w:rFonts w:ascii="Arial" w:hAnsi="Arial" w:cs="Arial"/>
                <w:i/>
                <w:sz w:val="24"/>
                <w:szCs w:val="24"/>
              </w:rPr>
              <w:t>life beyond Early Years, across our primary setting.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As a team, we intend to inspire lead the way.  We want our passion and expertise to be noticed and shared.</w:t>
            </w:r>
          </w:p>
          <w:p w14:paraId="2B5251FF" w14:textId="77777777" w:rsidR="009538B5" w:rsidRPr="00D42E4A" w:rsidRDefault="009538B5" w:rsidP="009538B5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2E4A">
              <w:rPr>
                <w:rFonts w:ascii="Arial" w:hAnsi="Arial" w:cs="Arial"/>
                <w:i/>
                <w:sz w:val="24"/>
                <w:szCs w:val="24"/>
              </w:rPr>
              <w:t>B</w:t>
            </w:r>
            <w:r w:rsidRPr="00D42E4A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 xml:space="preserve">y being the best that we can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 xml:space="preserve">all </w:t>
            </w:r>
            <w:r w:rsidRPr="00D42E4A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be, we shine brightly making our world a better place.  Let Your Light Shine!</w:t>
            </w:r>
          </w:p>
          <w:p w14:paraId="5DEA0ABF" w14:textId="324D9CD2" w:rsidR="00F67E25" w:rsidRPr="00F67E25" w:rsidRDefault="00F67E25" w:rsidP="009538B5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D25D9" w:rsidRPr="00273693" w14:paraId="4A4B233E" w14:textId="77777777" w:rsidTr="002270CD">
        <w:tc>
          <w:tcPr>
            <w:tcW w:w="15388" w:type="dxa"/>
            <w:shd w:val="clear" w:color="auto" w:fill="B4C6E7" w:themeFill="accent1" w:themeFillTint="66"/>
          </w:tcPr>
          <w:p w14:paraId="3E2C732C" w14:textId="55617C28" w:rsidR="00CD25D9" w:rsidRPr="00F9501A" w:rsidRDefault="00CD25D9" w:rsidP="00A432AE">
            <w:pPr>
              <w:pStyle w:val="TableTitle"/>
              <w:spacing w:before="120" w:after="120"/>
              <w:rPr>
                <w:sz w:val="24"/>
                <w:szCs w:val="24"/>
              </w:rPr>
            </w:pPr>
            <w:r w:rsidRPr="00F9501A">
              <w:rPr>
                <w:sz w:val="24"/>
                <w:szCs w:val="24"/>
              </w:rPr>
              <w:lastRenderedPageBreak/>
              <w:t>Implementation</w:t>
            </w:r>
          </w:p>
        </w:tc>
      </w:tr>
      <w:tr w:rsidR="00EE44C0" w:rsidRPr="00273693" w14:paraId="1218F554" w14:textId="77777777" w:rsidTr="002270CD">
        <w:trPr>
          <w:trHeight w:val="2933"/>
        </w:trPr>
        <w:tc>
          <w:tcPr>
            <w:tcW w:w="15388" w:type="dxa"/>
          </w:tcPr>
          <w:p w14:paraId="5A3C50E1" w14:textId="77777777" w:rsidR="006A0806" w:rsidRPr="0071639F" w:rsidRDefault="00EE44C0" w:rsidP="00EE44C0">
            <w:pPr>
              <w:spacing w:line="405" w:lineRule="atLeast"/>
              <w:rPr>
                <w:rFonts w:ascii="Arial" w:eastAsia="Times New Roman" w:hAnsi="Arial" w:cs="Arial"/>
                <w:b/>
                <w:bCs/>
                <w:color w:val="111111"/>
                <w:sz w:val="24"/>
                <w:bdr w:val="none" w:sz="0" w:space="0" w:color="auto" w:frame="1"/>
                <w:lang w:eastAsia="en-GB"/>
              </w:rPr>
            </w:pPr>
            <w:r w:rsidRPr="0071639F">
              <w:rPr>
                <w:rFonts w:ascii="Arial" w:eastAsia="Times New Roman" w:hAnsi="Arial" w:cs="Arial"/>
                <w:b/>
                <w:bCs/>
                <w:color w:val="111111"/>
                <w:sz w:val="24"/>
                <w:bdr w:val="none" w:sz="0" w:space="0" w:color="auto" w:frame="1"/>
                <w:lang w:eastAsia="en-GB"/>
              </w:rPr>
              <w:t>Implementation</w:t>
            </w:r>
          </w:p>
          <w:p w14:paraId="321A9859" w14:textId="0752F03D" w:rsidR="006A0806" w:rsidRPr="0071639F" w:rsidRDefault="006A0806" w:rsidP="0071639F">
            <w:pPr>
              <w:spacing w:line="405" w:lineRule="atLeast"/>
              <w:jc w:val="both"/>
              <w:rPr>
                <w:rFonts w:ascii="Arial" w:hAnsi="Arial" w:cs="Arial"/>
                <w:spacing w:val="5"/>
                <w:sz w:val="24"/>
                <w:szCs w:val="23"/>
              </w:rPr>
            </w:pPr>
            <w:r w:rsidRPr="0071639F">
              <w:rPr>
                <w:rFonts w:ascii="Arial" w:hAnsi="Arial" w:cs="Arial"/>
                <w:spacing w:val="5"/>
                <w:sz w:val="24"/>
                <w:szCs w:val="23"/>
              </w:rPr>
              <w:t>At Diptford we follow the EYFS curriculum</w:t>
            </w:r>
            <w:r w:rsidR="0071639F">
              <w:rPr>
                <w:rFonts w:ascii="Arial" w:hAnsi="Arial" w:cs="Arial"/>
                <w:spacing w:val="5"/>
                <w:sz w:val="24"/>
                <w:szCs w:val="23"/>
              </w:rPr>
              <w:t xml:space="preserve"> (Development Matters)</w:t>
            </w:r>
            <w:r w:rsidRPr="0071639F">
              <w:rPr>
                <w:rFonts w:ascii="Arial" w:hAnsi="Arial" w:cs="Arial"/>
                <w:spacing w:val="5"/>
                <w:sz w:val="24"/>
                <w:szCs w:val="23"/>
              </w:rPr>
              <w:t xml:space="preserve"> and ensure that the learning opportunities and experiences we provide are clearly linked to both the </w:t>
            </w:r>
            <w:r w:rsidRPr="0071639F">
              <w:rPr>
                <w:rFonts w:ascii="Arial" w:hAnsi="Arial" w:cs="Arial"/>
                <w:b/>
                <w:spacing w:val="5"/>
                <w:sz w:val="24"/>
                <w:szCs w:val="23"/>
              </w:rPr>
              <w:t>Prime</w:t>
            </w:r>
            <w:r w:rsidRPr="0071639F">
              <w:rPr>
                <w:rFonts w:ascii="Arial" w:hAnsi="Arial" w:cs="Arial"/>
                <w:spacing w:val="5"/>
                <w:sz w:val="24"/>
                <w:szCs w:val="23"/>
              </w:rPr>
              <w:t xml:space="preserve"> (Personal, Social and Emotional Development, Communication and Language and Physical Development) and </w:t>
            </w:r>
            <w:r w:rsidRPr="0071639F">
              <w:rPr>
                <w:rFonts w:ascii="Arial" w:hAnsi="Arial" w:cs="Arial"/>
                <w:b/>
                <w:spacing w:val="5"/>
                <w:sz w:val="24"/>
                <w:szCs w:val="23"/>
              </w:rPr>
              <w:t>Specific</w:t>
            </w:r>
            <w:r w:rsidRPr="0071639F">
              <w:rPr>
                <w:rFonts w:ascii="Arial" w:hAnsi="Arial" w:cs="Arial"/>
                <w:spacing w:val="5"/>
                <w:sz w:val="24"/>
                <w:szCs w:val="23"/>
              </w:rPr>
              <w:t xml:space="preserve"> (Literacy, Mathematics, Understanding the World and Expressive Arts) areas of learning.</w:t>
            </w:r>
          </w:p>
          <w:p w14:paraId="59AF2132" w14:textId="77777777" w:rsidR="0071639F" w:rsidRDefault="00EE44C0" w:rsidP="006A0806">
            <w:pPr>
              <w:spacing w:line="405" w:lineRule="atLeast"/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br/>
            </w:r>
            <w:r w:rsid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>Learning is presented</w:t>
            </w:r>
            <w:r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 xml:space="preserve"> through child-initiated, adult-led, authentic play where children explore and </w:t>
            </w:r>
            <w:r w:rsidR="006A0806"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 xml:space="preserve">are engaged in their learning. </w:t>
            </w:r>
          </w:p>
          <w:p w14:paraId="1DDB924B" w14:textId="010FE41F" w:rsidR="00EE44C0" w:rsidRPr="0071639F" w:rsidRDefault="006A0806" w:rsidP="006A0806">
            <w:pPr>
              <w:spacing w:line="405" w:lineRule="atLeast"/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>At Diptford we use the following approaches and ideas;</w:t>
            </w:r>
          </w:p>
          <w:p w14:paraId="0B8815B3" w14:textId="77777777" w:rsidR="00EE44C0" w:rsidRPr="0071639F" w:rsidRDefault="00EE44C0" w:rsidP="006A0806">
            <w:pPr>
              <w:numPr>
                <w:ilvl w:val="0"/>
                <w:numId w:val="10"/>
              </w:numPr>
              <w:spacing w:before="225" w:after="225" w:line="276" w:lineRule="auto"/>
              <w:ind w:left="750"/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>reading aloud and telling stories to children</w:t>
            </w:r>
          </w:p>
          <w:p w14:paraId="7EB52E51" w14:textId="332A982B" w:rsidR="00EE44C0" w:rsidRPr="0071639F" w:rsidRDefault="006A0806" w:rsidP="006A0806">
            <w:pPr>
              <w:numPr>
                <w:ilvl w:val="0"/>
                <w:numId w:val="10"/>
              </w:numPr>
              <w:spacing w:before="225" w:after="225" w:line="276" w:lineRule="auto"/>
              <w:ind w:left="750"/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>Encouraging</w:t>
            </w:r>
            <w:r w:rsidR="00EE44C0"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 xml:space="preserve"> children to sing songs and nursery </w:t>
            </w:r>
            <w:proofErr w:type="gramStart"/>
            <w:r w:rsidR="00EE44C0"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>rhymes, and</w:t>
            </w:r>
            <w:proofErr w:type="gramEnd"/>
            <w:r w:rsidR="00EE44C0"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 xml:space="preserve"> play musical games.</w:t>
            </w:r>
          </w:p>
          <w:p w14:paraId="3765DE28" w14:textId="05E81203" w:rsidR="006A0806" w:rsidRPr="0071639F" w:rsidRDefault="006A0806" w:rsidP="006A0806">
            <w:pPr>
              <w:numPr>
                <w:ilvl w:val="0"/>
                <w:numId w:val="10"/>
              </w:numPr>
              <w:spacing w:before="225" w:after="225" w:line="276" w:lineRule="auto"/>
              <w:ind w:left="750"/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>Balance between child initiated and directed learning – encouraging independence where appropriate</w:t>
            </w:r>
          </w:p>
          <w:p w14:paraId="5283270F" w14:textId="6F36F493" w:rsidR="006A0806" w:rsidRPr="0071639F" w:rsidRDefault="006A0806" w:rsidP="006A0806">
            <w:pPr>
              <w:numPr>
                <w:ilvl w:val="0"/>
                <w:numId w:val="10"/>
              </w:numPr>
              <w:spacing w:before="225" w:after="225" w:line="276" w:lineRule="auto"/>
              <w:ind w:left="750"/>
              <w:rPr>
                <w:rFonts w:ascii="Arial" w:eastAsia="Times New Roman" w:hAnsi="Arial" w:cs="Arial"/>
                <w:color w:val="111111"/>
                <w:sz w:val="28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111111"/>
                <w:sz w:val="24"/>
                <w:lang w:eastAsia="en-GB"/>
              </w:rPr>
              <w:t>Individual targets and key worker groups</w:t>
            </w:r>
          </w:p>
          <w:p w14:paraId="61255118" w14:textId="78652734" w:rsidR="006A0806" w:rsidRPr="0071639F" w:rsidRDefault="006A0806" w:rsidP="006A080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76" w:lineRule="auto"/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  <w:t>Diverse and rich opportunities from which they can learn and develop a range of transferable skills</w:t>
            </w:r>
            <w:r w:rsidRPr="0071639F"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0"/>
                <w:lang w:eastAsia="en-GB"/>
              </w:rPr>
              <w:t>.  </w:t>
            </w:r>
          </w:p>
          <w:p w14:paraId="5B9DE90E" w14:textId="77777777" w:rsidR="006A0806" w:rsidRPr="0071639F" w:rsidRDefault="006A0806" w:rsidP="006A0806">
            <w:pPr>
              <w:pStyle w:val="ListParagraph"/>
              <w:shd w:val="clear" w:color="auto" w:fill="FFFFFF"/>
              <w:spacing w:before="120" w:after="120" w:line="276" w:lineRule="auto"/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</w:pPr>
          </w:p>
          <w:p w14:paraId="7B192F4D" w14:textId="54029EF8" w:rsidR="006A0806" w:rsidRPr="0071639F" w:rsidRDefault="006A0806" w:rsidP="006A080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76" w:lineRule="auto"/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  <w:t>Cross curricular links</w:t>
            </w:r>
          </w:p>
          <w:p w14:paraId="2EB5B0AE" w14:textId="77777777" w:rsidR="006A0806" w:rsidRPr="0071639F" w:rsidRDefault="006A0806" w:rsidP="006A0806">
            <w:pPr>
              <w:pStyle w:val="ListParagraph"/>
              <w:spacing w:line="276" w:lineRule="auto"/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</w:pPr>
          </w:p>
          <w:p w14:paraId="0399649E" w14:textId="58ABF508" w:rsidR="006A0806" w:rsidRPr="0071639F" w:rsidRDefault="006A0806" w:rsidP="006A080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76" w:lineRule="auto"/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  <w:t>Inclusive environment within engaging and challenging provision</w:t>
            </w:r>
          </w:p>
          <w:p w14:paraId="64321B92" w14:textId="77777777" w:rsidR="006A0806" w:rsidRPr="0071639F" w:rsidRDefault="006A0806" w:rsidP="006A0806">
            <w:pPr>
              <w:pStyle w:val="ListParagraph"/>
              <w:spacing w:line="276" w:lineRule="auto"/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</w:pPr>
          </w:p>
          <w:p w14:paraId="57E41623" w14:textId="4A96CC7A" w:rsidR="006A0806" w:rsidRPr="0071639F" w:rsidRDefault="006A0806" w:rsidP="006A080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76" w:lineRule="auto"/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  <w:t>Inside and outside learning</w:t>
            </w:r>
            <w:r w:rsidR="0071639F"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  <w:t xml:space="preserve"> which promotes play and curiosity</w:t>
            </w:r>
          </w:p>
          <w:p w14:paraId="08CA0523" w14:textId="77777777" w:rsidR="006A0806" w:rsidRPr="0071639F" w:rsidRDefault="006A0806" w:rsidP="006A0806">
            <w:pPr>
              <w:pStyle w:val="ListParagraph"/>
              <w:spacing w:line="276" w:lineRule="auto"/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</w:pPr>
          </w:p>
          <w:p w14:paraId="553DB7FE" w14:textId="71E70702" w:rsidR="006A0806" w:rsidRPr="00F67E25" w:rsidRDefault="006A0806" w:rsidP="00F67E2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76" w:lineRule="auto"/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</w:pPr>
            <w:r w:rsidRPr="0071639F">
              <w:rPr>
                <w:rFonts w:ascii="Arial" w:eastAsia="Times New Roman" w:hAnsi="Arial" w:cs="Arial"/>
                <w:color w:val="393939"/>
                <w:sz w:val="24"/>
                <w:szCs w:val="20"/>
                <w:lang w:eastAsia="en-GB"/>
              </w:rPr>
              <w:t>Child led learning</w:t>
            </w:r>
          </w:p>
          <w:p w14:paraId="72EF0DBF" w14:textId="3307B06B" w:rsidR="006A0806" w:rsidRPr="0071639F" w:rsidRDefault="006A0806" w:rsidP="0071639F">
            <w:pPr>
              <w:pStyle w:val="NormalWeb"/>
              <w:spacing w:before="360" w:beforeAutospacing="0" w:after="360" w:afterAutospacing="0" w:line="384" w:lineRule="atLeast"/>
              <w:jc w:val="both"/>
              <w:rPr>
                <w:rFonts w:ascii="Arial" w:hAnsi="Arial" w:cs="Arial"/>
                <w:spacing w:val="5"/>
                <w:szCs w:val="23"/>
              </w:rPr>
            </w:pPr>
            <w:r w:rsidRPr="0071639F">
              <w:rPr>
                <w:rFonts w:ascii="Arial" w:hAnsi="Arial" w:cs="Arial"/>
                <w:spacing w:val="5"/>
                <w:szCs w:val="23"/>
              </w:rPr>
              <w:t xml:space="preserve">Staff use their knowledge of the Characteristics of Effective Learning to ensure that they plan appropriate activities and organise their provision in a way that demonstrates a clear understanding of the way in which our children are motivated to learn. </w:t>
            </w:r>
          </w:p>
          <w:p w14:paraId="4907BC9B" w14:textId="10F174C6" w:rsidR="006A0806" w:rsidRPr="0071639F" w:rsidRDefault="005415A5" w:rsidP="0071639F">
            <w:pPr>
              <w:pStyle w:val="NormalWeb"/>
              <w:spacing w:before="360" w:beforeAutospacing="0" w:after="360" w:afterAutospacing="0" w:line="384" w:lineRule="atLeast"/>
              <w:jc w:val="both"/>
              <w:rPr>
                <w:rFonts w:ascii="Arial" w:hAnsi="Arial" w:cs="Arial"/>
                <w:spacing w:val="5"/>
                <w:szCs w:val="23"/>
              </w:rPr>
            </w:pPr>
            <w:r w:rsidRPr="0071639F">
              <w:rPr>
                <w:rFonts w:ascii="Arial" w:hAnsi="Arial" w:cs="Arial"/>
                <w:spacing w:val="5"/>
                <w:szCs w:val="23"/>
              </w:rPr>
              <w:lastRenderedPageBreak/>
              <w:t>We hold regular parent meetings, stay and play sessions and workshops to ensure that parents are kept up to date with their child’s development and progress.</w:t>
            </w:r>
          </w:p>
          <w:p w14:paraId="290DD108" w14:textId="234BD78F" w:rsidR="00EE44C0" w:rsidRPr="005415A5" w:rsidRDefault="005415A5" w:rsidP="0071639F">
            <w:pPr>
              <w:pStyle w:val="NormalWeb"/>
              <w:spacing w:before="360" w:beforeAutospacing="0" w:after="360" w:afterAutospacing="0" w:line="384" w:lineRule="atLeast"/>
              <w:jc w:val="both"/>
              <w:rPr>
                <w:rFonts w:ascii="Arial" w:hAnsi="Arial" w:cs="Arial"/>
                <w:spacing w:val="5"/>
                <w:sz w:val="22"/>
                <w:szCs w:val="23"/>
              </w:rPr>
            </w:pPr>
            <w:r w:rsidRPr="0071639F">
              <w:rPr>
                <w:rFonts w:ascii="Arial" w:hAnsi="Arial" w:cs="Arial"/>
                <w:spacing w:val="5"/>
                <w:szCs w:val="23"/>
              </w:rPr>
              <w:t>Tapestry offers both parents and teachers</w:t>
            </w:r>
            <w:r w:rsidR="0071639F">
              <w:rPr>
                <w:rFonts w:ascii="Arial" w:hAnsi="Arial" w:cs="Arial"/>
                <w:spacing w:val="5"/>
                <w:szCs w:val="23"/>
              </w:rPr>
              <w:t xml:space="preserve"> a way</w:t>
            </w:r>
            <w:r w:rsidRPr="0071639F">
              <w:rPr>
                <w:rFonts w:ascii="Arial" w:hAnsi="Arial" w:cs="Arial"/>
                <w:spacing w:val="5"/>
                <w:szCs w:val="23"/>
              </w:rPr>
              <w:t xml:space="preserve"> to communicate and share information about children’s learning, achievements and news both in and out of school which provides us with a well-rounded view of </w:t>
            </w:r>
            <w:proofErr w:type="gramStart"/>
            <w:r w:rsidRPr="0071639F">
              <w:rPr>
                <w:rFonts w:ascii="Arial" w:hAnsi="Arial" w:cs="Arial"/>
                <w:spacing w:val="5"/>
                <w:szCs w:val="23"/>
              </w:rPr>
              <w:t>each and every</w:t>
            </w:r>
            <w:proofErr w:type="gramEnd"/>
            <w:r w:rsidRPr="0071639F">
              <w:rPr>
                <w:rFonts w:ascii="Arial" w:hAnsi="Arial" w:cs="Arial"/>
                <w:spacing w:val="5"/>
                <w:szCs w:val="23"/>
              </w:rPr>
              <w:t xml:space="preserve"> child.</w:t>
            </w:r>
          </w:p>
        </w:tc>
      </w:tr>
      <w:tr w:rsidR="007275BA" w:rsidRPr="00273693" w14:paraId="067A3829" w14:textId="77777777" w:rsidTr="002270CD">
        <w:tc>
          <w:tcPr>
            <w:tcW w:w="15388" w:type="dxa"/>
            <w:shd w:val="clear" w:color="auto" w:fill="B4C6E7" w:themeFill="accent1" w:themeFillTint="66"/>
          </w:tcPr>
          <w:p w14:paraId="1E7B97C6" w14:textId="570220CD" w:rsidR="007275BA" w:rsidRPr="00F9501A" w:rsidRDefault="007275BA" w:rsidP="00465C5F">
            <w:pPr>
              <w:pStyle w:val="TableTitle"/>
              <w:spacing w:before="120" w:after="120"/>
              <w:rPr>
                <w:sz w:val="24"/>
                <w:szCs w:val="24"/>
              </w:rPr>
            </w:pPr>
            <w:r w:rsidRPr="00F9501A">
              <w:rPr>
                <w:sz w:val="24"/>
                <w:szCs w:val="24"/>
              </w:rPr>
              <w:lastRenderedPageBreak/>
              <w:t>Impact</w:t>
            </w:r>
          </w:p>
        </w:tc>
      </w:tr>
      <w:tr w:rsidR="00EE44C0" w:rsidRPr="00273693" w14:paraId="39FC3716" w14:textId="77777777" w:rsidTr="002270CD">
        <w:tc>
          <w:tcPr>
            <w:tcW w:w="15388" w:type="dxa"/>
          </w:tcPr>
          <w:p w14:paraId="6B4FFBC5" w14:textId="27F18DC4" w:rsidR="00F471BC" w:rsidRPr="0071639F" w:rsidRDefault="00EE44C0" w:rsidP="006B1C94">
            <w:pPr>
              <w:spacing w:line="405" w:lineRule="atLeast"/>
              <w:rPr>
                <w:rFonts w:ascii="Arial" w:eastAsia="Times New Roman" w:hAnsi="Arial" w:cs="Arial"/>
                <w:color w:val="111111"/>
                <w:sz w:val="24"/>
                <w:szCs w:val="29"/>
                <w:lang w:eastAsia="en-GB"/>
              </w:rPr>
            </w:pPr>
            <w:r w:rsidRPr="0071639F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9"/>
                <w:bdr w:val="none" w:sz="0" w:space="0" w:color="auto" w:frame="1"/>
                <w:lang w:eastAsia="en-GB"/>
              </w:rPr>
              <w:t>Impact</w:t>
            </w:r>
            <w:r w:rsidRPr="0071639F">
              <w:rPr>
                <w:rFonts w:ascii="Arial" w:eastAsia="Times New Roman" w:hAnsi="Arial" w:cs="Arial"/>
                <w:color w:val="111111"/>
                <w:sz w:val="24"/>
                <w:szCs w:val="29"/>
                <w:lang w:eastAsia="en-GB"/>
              </w:rPr>
              <w:br/>
            </w:r>
            <w:r w:rsidR="006B1C94" w:rsidRPr="0071639F">
              <w:rPr>
                <w:rFonts w:ascii="Arial" w:eastAsia="Times New Roman" w:hAnsi="Arial" w:cs="Arial"/>
                <w:color w:val="111111"/>
                <w:sz w:val="24"/>
                <w:szCs w:val="29"/>
                <w:lang w:eastAsia="en-GB"/>
              </w:rPr>
              <w:t>We strive to ensure that all our children make good or better progress during their time in Early Years.</w:t>
            </w:r>
          </w:p>
          <w:p w14:paraId="2731541D" w14:textId="4913196E" w:rsidR="00F471BC" w:rsidRPr="0071639F" w:rsidRDefault="00F471BC" w:rsidP="00F471BC">
            <w:pPr>
              <w:pStyle w:val="TableTitle"/>
              <w:spacing w:before="120" w:after="120"/>
              <w:rPr>
                <w:b w:val="0"/>
                <w:sz w:val="24"/>
                <w:szCs w:val="24"/>
              </w:rPr>
            </w:pPr>
            <w:r w:rsidRPr="0071639F">
              <w:rPr>
                <w:b w:val="0"/>
                <w:sz w:val="24"/>
                <w:szCs w:val="24"/>
              </w:rPr>
              <w:t xml:space="preserve">Our curriculum </w:t>
            </w:r>
            <w:r w:rsidR="0071639F">
              <w:rPr>
                <w:b w:val="0"/>
                <w:sz w:val="24"/>
                <w:szCs w:val="24"/>
              </w:rPr>
              <w:t>is planned</w:t>
            </w:r>
            <w:r w:rsidRPr="0071639F">
              <w:rPr>
                <w:b w:val="0"/>
                <w:sz w:val="24"/>
                <w:szCs w:val="24"/>
              </w:rPr>
              <w:t xml:space="preserve"> to meet the needs of all our children in and inclusive environment.</w:t>
            </w:r>
          </w:p>
          <w:p w14:paraId="2A74AB10" w14:textId="77777777" w:rsidR="00F471BC" w:rsidRPr="0071639F" w:rsidRDefault="00F471BC" w:rsidP="00F471BC">
            <w:pPr>
              <w:pStyle w:val="TableTitle"/>
              <w:spacing w:before="120" w:after="120"/>
              <w:rPr>
                <w:b w:val="0"/>
                <w:sz w:val="24"/>
                <w:szCs w:val="24"/>
              </w:rPr>
            </w:pPr>
            <w:r w:rsidRPr="0071639F">
              <w:rPr>
                <w:b w:val="0"/>
                <w:sz w:val="24"/>
                <w:szCs w:val="24"/>
              </w:rPr>
              <w:t>Information is collated from baseline assessments and monitoring which takes place throughout the year.</w:t>
            </w:r>
          </w:p>
          <w:p w14:paraId="58D35193" w14:textId="2DCD79B3" w:rsidR="00F471BC" w:rsidRPr="0071639F" w:rsidRDefault="00F471BC" w:rsidP="00F471BC">
            <w:pPr>
              <w:pStyle w:val="TableTitle"/>
              <w:spacing w:before="120" w:after="120"/>
              <w:rPr>
                <w:b w:val="0"/>
                <w:sz w:val="24"/>
                <w:szCs w:val="24"/>
              </w:rPr>
            </w:pPr>
            <w:r w:rsidRPr="0071639F">
              <w:rPr>
                <w:b w:val="0"/>
                <w:sz w:val="24"/>
                <w:szCs w:val="24"/>
              </w:rPr>
              <w:t xml:space="preserve">Parental engagement is encouraged so they can contribute to the learning </w:t>
            </w:r>
            <w:r w:rsidR="0071639F">
              <w:rPr>
                <w:b w:val="0"/>
                <w:sz w:val="24"/>
                <w:szCs w:val="24"/>
              </w:rPr>
              <w:t>journey</w:t>
            </w:r>
            <w:r w:rsidRPr="0071639F">
              <w:rPr>
                <w:b w:val="0"/>
                <w:sz w:val="24"/>
                <w:szCs w:val="24"/>
              </w:rPr>
              <w:t xml:space="preserve"> of their child.</w:t>
            </w:r>
          </w:p>
          <w:p w14:paraId="3DED64E8" w14:textId="77777777" w:rsidR="00F471BC" w:rsidRPr="0071639F" w:rsidRDefault="00F471BC" w:rsidP="00F471BC">
            <w:pPr>
              <w:pStyle w:val="TableTitle"/>
              <w:spacing w:before="120" w:after="120"/>
              <w:rPr>
                <w:b w:val="0"/>
                <w:sz w:val="24"/>
                <w:szCs w:val="24"/>
              </w:rPr>
            </w:pPr>
            <w:r w:rsidRPr="0071639F">
              <w:rPr>
                <w:b w:val="0"/>
                <w:sz w:val="24"/>
                <w:szCs w:val="24"/>
              </w:rPr>
              <w:t>During the children’s time at Diptford School they are encouraged to be the very best version of themselves.</w:t>
            </w:r>
          </w:p>
          <w:p w14:paraId="5744FB09" w14:textId="2C801CD6" w:rsidR="00F471BC" w:rsidRPr="0071639F" w:rsidRDefault="00F471BC" w:rsidP="0071639F">
            <w:pPr>
              <w:pStyle w:val="TableTitle"/>
              <w:spacing w:before="120" w:after="120"/>
              <w:jc w:val="both"/>
              <w:rPr>
                <w:b w:val="0"/>
                <w:sz w:val="24"/>
                <w:szCs w:val="24"/>
              </w:rPr>
            </w:pPr>
            <w:r w:rsidRPr="0071639F">
              <w:rPr>
                <w:b w:val="0"/>
                <w:sz w:val="24"/>
                <w:szCs w:val="24"/>
              </w:rPr>
              <w:t>To make well rounded learners through a variety of experiences</w:t>
            </w:r>
            <w:r w:rsidR="0071639F">
              <w:rPr>
                <w:b w:val="0"/>
                <w:sz w:val="24"/>
                <w:szCs w:val="24"/>
              </w:rPr>
              <w:t xml:space="preserve"> we plan</w:t>
            </w:r>
            <w:r w:rsidRPr="0071639F">
              <w:rPr>
                <w:b w:val="0"/>
                <w:sz w:val="24"/>
                <w:szCs w:val="24"/>
              </w:rPr>
              <w:t xml:space="preserve"> trips, a varied curriculum which takes place both in</w:t>
            </w:r>
            <w:r w:rsidR="0071639F">
              <w:rPr>
                <w:b w:val="0"/>
                <w:sz w:val="24"/>
                <w:szCs w:val="24"/>
              </w:rPr>
              <w:t xml:space="preserve"> and out of the classroom which allows children to have engaging first-hand learning experiences.</w:t>
            </w:r>
          </w:p>
          <w:p w14:paraId="0C5F718C" w14:textId="77777777" w:rsidR="00F471BC" w:rsidRPr="0071639F" w:rsidRDefault="00F471BC" w:rsidP="00F471BC">
            <w:pPr>
              <w:pStyle w:val="TableTitle"/>
              <w:spacing w:before="120" w:after="120"/>
              <w:rPr>
                <w:sz w:val="24"/>
                <w:szCs w:val="24"/>
              </w:rPr>
            </w:pPr>
            <w:r w:rsidRPr="0071639F">
              <w:rPr>
                <w:sz w:val="24"/>
                <w:szCs w:val="24"/>
              </w:rPr>
              <w:t>We strive for children to develop;</w:t>
            </w:r>
          </w:p>
          <w:p w14:paraId="4493C334" w14:textId="77777777" w:rsidR="00F471BC" w:rsidRPr="0071639F" w:rsidRDefault="00F471BC" w:rsidP="00F471BC">
            <w:pPr>
              <w:pStyle w:val="TableTitle"/>
              <w:numPr>
                <w:ilvl w:val="0"/>
                <w:numId w:val="12"/>
              </w:numPr>
              <w:spacing w:before="120" w:after="120"/>
              <w:rPr>
                <w:b w:val="0"/>
                <w:sz w:val="24"/>
                <w:szCs w:val="24"/>
              </w:rPr>
            </w:pPr>
            <w:r w:rsidRPr="0071639F">
              <w:rPr>
                <w:b w:val="0"/>
                <w:sz w:val="24"/>
                <w:szCs w:val="24"/>
              </w:rPr>
              <w:t>Emotional resilience</w:t>
            </w:r>
          </w:p>
          <w:p w14:paraId="73B47655" w14:textId="77777777" w:rsidR="00F471BC" w:rsidRPr="0071639F" w:rsidRDefault="00F471BC" w:rsidP="00F471BC">
            <w:pPr>
              <w:pStyle w:val="TableTitle"/>
              <w:numPr>
                <w:ilvl w:val="0"/>
                <w:numId w:val="12"/>
              </w:numPr>
              <w:spacing w:before="120" w:after="120"/>
              <w:rPr>
                <w:b w:val="0"/>
                <w:sz w:val="24"/>
                <w:szCs w:val="24"/>
              </w:rPr>
            </w:pPr>
            <w:r w:rsidRPr="0071639F">
              <w:rPr>
                <w:b w:val="0"/>
                <w:sz w:val="24"/>
                <w:szCs w:val="24"/>
              </w:rPr>
              <w:t>Self-awareness</w:t>
            </w:r>
          </w:p>
          <w:p w14:paraId="6D2C8FEA" w14:textId="77777777" w:rsidR="00F471BC" w:rsidRPr="0071639F" w:rsidRDefault="00F471BC" w:rsidP="00F471BC">
            <w:pPr>
              <w:pStyle w:val="TableTitle"/>
              <w:numPr>
                <w:ilvl w:val="0"/>
                <w:numId w:val="12"/>
              </w:numPr>
              <w:spacing w:before="120" w:after="120"/>
              <w:rPr>
                <w:b w:val="0"/>
                <w:sz w:val="24"/>
                <w:szCs w:val="24"/>
              </w:rPr>
            </w:pPr>
            <w:r w:rsidRPr="0071639F">
              <w:rPr>
                <w:b w:val="0"/>
                <w:sz w:val="24"/>
                <w:szCs w:val="24"/>
              </w:rPr>
              <w:t>Strong communication skills</w:t>
            </w:r>
          </w:p>
          <w:p w14:paraId="6199F9B8" w14:textId="77777777" w:rsidR="00F471BC" w:rsidRPr="0071639F" w:rsidRDefault="00F471BC" w:rsidP="00F471BC">
            <w:pPr>
              <w:pStyle w:val="TableTitle"/>
              <w:numPr>
                <w:ilvl w:val="0"/>
                <w:numId w:val="12"/>
              </w:numPr>
              <w:spacing w:before="120" w:after="120"/>
              <w:rPr>
                <w:b w:val="0"/>
                <w:sz w:val="24"/>
                <w:szCs w:val="24"/>
              </w:rPr>
            </w:pPr>
            <w:r w:rsidRPr="0071639F">
              <w:rPr>
                <w:b w:val="0"/>
                <w:sz w:val="24"/>
                <w:szCs w:val="24"/>
              </w:rPr>
              <w:t>Respect, honesty and kindness</w:t>
            </w:r>
          </w:p>
          <w:p w14:paraId="10AC3865" w14:textId="344941B1" w:rsidR="006B1C94" w:rsidRPr="006B1C94" w:rsidRDefault="006B1C94" w:rsidP="006B1C94">
            <w:pPr>
              <w:pStyle w:val="TableTitle"/>
              <w:spacing w:before="120" w:after="120"/>
              <w:rPr>
                <w:b w:val="0"/>
                <w:sz w:val="22"/>
                <w:szCs w:val="24"/>
              </w:rPr>
            </w:pPr>
          </w:p>
        </w:tc>
      </w:tr>
      <w:tr w:rsidR="00F21CD0" w:rsidRPr="00273693" w14:paraId="3CA49898" w14:textId="77777777" w:rsidTr="002270CD">
        <w:tc>
          <w:tcPr>
            <w:tcW w:w="15388" w:type="dxa"/>
            <w:shd w:val="clear" w:color="auto" w:fill="B4C6E7" w:themeFill="accent1" w:themeFillTint="66"/>
          </w:tcPr>
          <w:p w14:paraId="4E2D5862" w14:textId="59776867" w:rsidR="00F21CD0" w:rsidRPr="00F9501A" w:rsidRDefault="00F21CD0" w:rsidP="00A432AE">
            <w:pPr>
              <w:pStyle w:val="TableTitle"/>
              <w:spacing w:before="120" w:after="120"/>
              <w:rPr>
                <w:b w:val="0"/>
                <w:sz w:val="24"/>
                <w:szCs w:val="24"/>
              </w:rPr>
            </w:pPr>
            <w:r w:rsidRPr="00F9501A">
              <w:rPr>
                <w:sz w:val="24"/>
                <w:szCs w:val="24"/>
              </w:rPr>
              <w:lastRenderedPageBreak/>
              <w:t xml:space="preserve">Assessment evidence </w:t>
            </w:r>
            <w:proofErr w:type="gramStart"/>
            <w:r w:rsidRPr="00F9501A">
              <w:rPr>
                <w:b w:val="0"/>
                <w:sz w:val="24"/>
                <w:szCs w:val="24"/>
              </w:rPr>
              <w:t>in order to</w:t>
            </w:r>
            <w:proofErr w:type="gramEnd"/>
            <w:r w:rsidRPr="00F9501A">
              <w:rPr>
                <w:b w:val="0"/>
                <w:sz w:val="24"/>
                <w:szCs w:val="24"/>
              </w:rPr>
              <w:t xml:space="preserve"> assess impact</w:t>
            </w:r>
          </w:p>
        </w:tc>
      </w:tr>
      <w:tr w:rsidR="006A0806" w:rsidRPr="00273693" w14:paraId="6C38D519" w14:textId="77777777" w:rsidTr="002270CD">
        <w:tc>
          <w:tcPr>
            <w:tcW w:w="15388" w:type="dxa"/>
          </w:tcPr>
          <w:p w14:paraId="16AEFEF8" w14:textId="77777777" w:rsidR="006A0806" w:rsidRPr="00F9501A" w:rsidRDefault="006A0806" w:rsidP="00F21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Imprima" w:hAnsi="Arial" w:cs="Arial"/>
                <w:b/>
                <w:sz w:val="24"/>
                <w:szCs w:val="24"/>
              </w:rPr>
            </w:pPr>
            <w:r w:rsidRPr="00F9501A">
              <w:rPr>
                <w:rFonts w:ascii="Arial" w:eastAsia="Imprima" w:hAnsi="Arial" w:cs="Arial"/>
                <w:b/>
                <w:sz w:val="24"/>
                <w:szCs w:val="24"/>
              </w:rPr>
              <w:t>EYFSP</w:t>
            </w:r>
          </w:p>
          <w:p w14:paraId="52782764" w14:textId="77777777" w:rsidR="006A0806" w:rsidRPr="00F9501A" w:rsidRDefault="006A0806" w:rsidP="00F21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Imprima" w:hAnsi="Arial" w:cs="Arial"/>
                <w:sz w:val="24"/>
                <w:szCs w:val="24"/>
              </w:rPr>
            </w:pPr>
          </w:p>
          <w:p w14:paraId="668C031D" w14:textId="74571ECF" w:rsidR="006A0806" w:rsidRPr="00F823AE" w:rsidRDefault="006A0806" w:rsidP="006A0806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Imprima" w:hAnsi="Arial" w:cs="Arial"/>
                <w:sz w:val="24"/>
                <w:szCs w:val="24"/>
              </w:rPr>
            </w:pPr>
            <w:r w:rsidRPr="00F823AE">
              <w:rPr>
                <w:rFonts w:ascii="Arial" w:eastAsia="Imprima" w:hAnsi="Arial" w:cs="Arial"/>
                <w:sz w:val="24"/>
                <w:szCs w:val="24"/>
              </w:rPr>
              <w:t>Baseline</w:t>
            </w:r>
            <w:r w:rsidR="00F10086" w:rsidRPr="00F823AE">
              <w:rPr>
                <w:rFonts w:ascii="Arial" w:eastAsia="Imprima" w:hAnsi="Arial" w:cs="Arial"/>
                <w:sz w:val="24"/>
                <w:szCs w:val="24"/>
              </w:rPr>
              <w:t xml:space="preserve"> - </w:t>
            </w:r>
            <w:r w:rsidR="00F10086" w:rsidRPr="00F823AE">
              <w:rPr>
                <w:rFonts w:ascii="Arial" w:hAnsi="Arial" w:cs="Arial"/>
                <w:color w:val="0B0C0C"/>
                <w:sz w:val="24"/>
                <w:szCs w:val="24"/>
              </w:rPr>
              <w:t>An assessment for pupils in reception to measure their progress in primary schools</w:t>
            </w:r>
          </w:p>
          <w:p w14:paraId="24605CEF" w14:textId="747BF5EA" w:rsidR="006A0806" w:rsidRPr="00F823AE" w:rsidRDefault="006A0806" w:rsidP="00F823AE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Imprima" w:hAnsi="Arial" w:cs="Arial"/>
                <w:sz w:val="24"/>
                <w:szCs w:val="24"/>
              </w:rPr>
            </w:pPr>
            <w:r w:rsidRPr="00F823AE">
              <w:rPr>
                <w:rFonts w:ascii="Arial" w:eastAsia="Imprima" w:hAnsi="Arial" w:cs="Arial"/>
                <w:sz w:val="24"/>
                <w:szCs w:val="24"/>
              </w:rPr>
              <w:t>Summative and formative assessment</w:t>
            </w:r>
            <w:r w:rsidR="00F823AE" w:rsidRPr="00F823AE">
              <w:rPr>
                <w:rFonts w:ascii="Arial" w:eastAsia="Imprima" w:hAnsi="Arial" w:cs="Arial"/>
                <w:sz w:val="24"/>
                <w:szCs w:val="24"/>
              </w:rPr>
              <w:t xml:space="preserve"> - </w:t>
            </w:r>
            <w:r w:rsidR="00F823AE" w:rsidRPr="00F823AE">
              <w:rPr>
                <w:rFonts w:ascii="Arial" w:hAnsi="Arial" w:cs="Arial"/>
                <w:bCs/>
                <w:color w:val="222222"/>
                <w:sz w:val="24"/>
                <w:szCs w:val="24"/>
              </w:rPr>
              <w:t>formative assessment</w:t>
            </w:r>
            <w:r w:rsidR="00F823AE" w:rsidRPr="00F823AE">
              <w:rPr>
                <w:rFonts w:ascii="Arial" w:hAnsi="Arial" w:cs="Arial"/>
                <w:color w:val="222222"/>
                <w:sz w:val="24"/>
                <w:szCs w:val="24"/>
              </w:rPr>
              <w:t xml:space="preserve"> is based on observations of the children in action, both in self-chosen play and planned activities, summative assessment provides a summary of the child's learning and development at a point in time</w:t>
            </w:r>
          </w:p>
          <w:p w14:paraId="018442CA" w14:textId="69132304" w:rsidR="006A0806" w:rsidRPr="00F823AE" w:rsidRDefault="006A0806" w:rsidP="006A0806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Imprima" w:hAnsi="Arial" w:cs="Arial"/>
                <w:sz w:val="24"/>
                <w:szCs w:val="24"/>
              </w:rPr>
            </w:pPr>
            <w:r w:rsidRPr="00F823AE">
              <w:rPr>
                <w:rFonts w:ascii="Arial" w:eastAsia="Imprima" w:hAnsi="Arial" w:cs="Arial"/>
                <w:sz w:val="24"/>
                <w:szCs w:val="24"/>
              </w:rPr>
              <w:t>Tapestry</w:t>
            </w:r>
            <w:r w:rsidR="00F10086" w:rsidRPr="00F823AE">
              <w:rPr>
                <w:rFonts w:ascii="Arial" w:eastAsia="Imprima" w:hAnsi="Arial" w:cs="Arial"/>
                <w:sz w:val="24"/>
                <w:szCs w:val="24"/>
              </w:rPr>
              <w:t xml:space="preserve"> – an </w:t>
            </w:r>
            <w:r w:rsidR="00F10086" w:rsidRPr="00F823AE">
              <w:rPr>
                <w:rFonts w:ascii="Arial" w:hAnsi="Arial" w:cs="Arial"/>
                <w:sz w:val="24"/>
                <w:szCs w:val="24"/>
              </w:rPr>
              <w:t xml:space="preserve">online </w:t>
            </w:r>
            <w:r w:rsidR="00F10086" w:rsidRPr="00F823AE"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4"/>
              </w:rPr>
              <w:t>journal</w:t>
            </w:r>
            <w:r w:rsidR="00F10086" w:rsidRPr="00F823AE">
              <w:rPr>
                <w:rFonts w:ascii="Arial" w:hAnsi="Arial" w:cs="Arial"/>
                <w:sz w:val="24"/>
                <w:szCs w:val="24"/>
              </w:rPr>
              <w:t xml:space="preserve"> to help record all the learning and fun of children's early years education</w:t>
            </w:r>
            <w:r w:rsidR="00F10086" w:rsidRPr="00F823AE">
              <w:rPr>
                <w:rFonts w:ascii="Arial" w:hAnsi="Arial" w:cs="Arial"/>
                <w:color w:val="4D5156"/>
                <w:sz w:val="24"/>
                <w:szCs w:val="24"/>
              </w:rPr>
              <w:t>.</w:t>
            </w:r>
          </w:p>
          <w:p w14:paraId="257052D3" w14:textId="71925A0B" w:rsidR="006A0806" w:rsidRPr="00F823AE" w:rsidRDefault="006A0806" w:rsidP="006A0806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Imprima" w:hAnsi="Arial" w:cs="Arial"/>
                <w:sz w:val="24"/>
                <w:szCs w:val="24"/>
              </w:rPr>
            </w:pPr>
            <w:r w:rsidRPr="00F823AE">
              <w:rPr>
                <w:rFonts w:ascii="Arial" w:eastAsia="Imprima" w:hAnsi="Arial" w:cs="Arial"/>
                <w:sz w:val="24"/>
                <w:szCs w:val="24"/>
              </w:rPr>
              <w:t>Observation notes</w:t>
            </w:r>
            <w:r w:rsidR="00F10086" w:rsidRPr="00F823AE">
              <w:rPr>
                <w:rFonts w:ascii="Arial" w:eastAsia="Imprima" w:hAnsi="Arial" w:cs="Arial"/>
                <w:sz w:val="24"/>
                <w:szCs w:val="24"/>
              </w:rPr>
              <w:t xml:space="preserve"> – made by teacher/teaching assistant during specific </w:t>
            </w:r>
            <w:r w:rsidR="00F823AE" w:rsidRPr="00F823AE">
              <w:rPr>
                <w:rFonts w:ascii="Arial" w:eastAsia="Imprima" w:hAnsi="Arial" w:cs="Arial"/>
                <w:sz w:val="24"/>
                <w:szCs w:val="24"/>
              </w:rPr>
              <w:t>activities</w:t>
            </w:r>
            <w:r w:rsidR="00F10086" w:rsidRPr="00F823AE">
              <w:rPr>
                <w:rFonts w:ascii="Arial" w:eastAsia="Imprima" w:hAnsi="Arial" w:cs="Arial"/>
                <w:sz w:val="24"/>
                <w:szCs w:val="24"/>
              </w:rPr>
              <w:t>/free play</w:t>
            </w:r>
          </w:p>
          <w:p w14:paraId="035B9A3D" w14:textId="42B8FA6B" w:rsidR="006A0806" w:rsidRPr="0007046C" w:rsidRDefault="006A0806" w:rsidP="0007046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E3E15" w:rsidRPr="00273693" w14:paraId="48312E18" w14:textId="77777777" w:rsidTr="002270CD">
        <w:trPr>
          <w:trHeight w:val="396"/>
        </w:trPr>
        <w:tc>
          <w:tcPr>
            <w:tcW w:w="15388" w:type="dxa"/>
            <w:shd w:val="clear" w:color="auto" w:fill="B4C6E7" w:themeFill="accent1" w:themeFillTint="66"/>
          </w:tcPr>
          <w:p w14:paraId="1171720E" w14:textId="52FC0033" w:rsidR="00EE3E15" w:rsidRPr="00F9501A" w:rsidRDefault="00EE3E15" w:rsidP="0022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rPr>
                <w:rFonts w:ascii="Arial" w:eastAsia="Imprima" w:hAnsi="Arial" w:cs="Arial"/>
                <w:b/>
                <w:sz w:val="24"/>
                <w:szCs w:val="24"/>
              </w:rPr>
            </w:pPr>
            <w:r w:rsidRPr="00F9501A">
              <w:rPr>
                <w:rFonts w:ascii="Arial" w:eastAsia="Imprima" w:hAnsi="Arial" w:cs="Arial"/>
                <w:b/>
                <w:sz w:val="24"/>
                <w:szCs w:val="24"/>
              </w:rPr>
              <w:t>EYFS</w:t>
            </w:r>
            <w:r w:rsidR="005415A5">
              <w:rPr>
                <w:rFonts w:ascii="Arial" w:eastAsia="Imprima" w:hAnsi="Arial" w:cs="Arial"/>
                <w:b/>
                <w:sz w:val="24"/>
                <w:szCs w:val="24"/>
              </w:rPr>
              <w:t xml:space="preserve"> Curriculum</w:t>
            </w:r>
          </w:p>
        </w:tc>
      </w:tr>
      <w:tr w:rsidR="005415A5" w:rsidRPr="00273693" w14:paraId="33FAC5E0" w14:textId="77777777" w:rsidTr="002270CD">
        <w:trPr>
          <w:trHeight w:val="384"/>
        </w:trPr>
        <w:tc>
          <w:tcPr>
            <w:tcW w:w="15388" w:type="dxa"/>
            <w:shd w:val="clear" w:color="auto" w:fill="FFFFFF" w:themeFill="background1"/>
          </w:tcPr>
          <w:p w14:paraId="576B4555" w14:textId="77777777" w:rsidR="005415A5" w:rsidRDefault="005415A5" w:rsidP="0022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Imprima" w:hAnsi="Arial" w:cs="Arial"/>
                <w:b/>
                <w:sz w:val="24"/>
                <w:szCs w:val="24"/>
              </w:rPr>
            </w:pPr>
            <w:r>
              <w:rPr>
                <w:rFonts w:ascii="Arial" w:eastAsia="Imprima" w:hAnsi="Arial" w:cs="Arial"/>
                <w:b/>
                <w:sz w:val="24"/>
                <w:szCs w:val="24"/>
              </w:rPr>
              <w:t>Prime Areas:</w:t>
            </w:r>
          </w:p>
          <w:p w14:paraId="494FA52C" w14:textId="2FDB4603" w:rsidR="005415A5" w:rsidRPr="005415A5" w:rsidRDefault="005415A5" w:rsidP="0022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Imprima" w:hAnsi="Arial" w:cs="Arial"/>
                <w:sz w:val="24"/>
                <w:szCs w:val="24"/>
              </w:rPr>
            </w:pPr>
            <w:r w:rsidRPr="005415A5">
              <w:rPr>
                <w:rFonts w:ascii="Arial" w:eastAsia="Imprima" w:hAnsi="Arial" w:cs="Arial"/>
                <w:sz w:val="24"/>
                <w:szCs w:val="24"/>
              </w:rPr>
              <w:t>Physical Development</w:t>
            </w:r>
            <w:r w:rsidR="00F10086">
              <w:rPr>
                <w:rFonts w:ascii="Arial" w:eastAsia="Imprima" w:hAnsi="Arial" w:cs="Arial"/>
                <w:sz w:val="24"/>
                <w:szCs w:val="24"/>
              </w:rPr>
              <w:t xml:space="preserve"> – movement and handling/health and self-care</w:t>
            </w:r>
          </w:p>
          <w:p w14:paraId="0F8053EA" w14:textId="48015C31" w:rsidR="005415A5" w:rsidRPr="005415A5" w:rsidRDefault="005415A5" w:rsidP="0022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Imprima" w:hAnsi="Arial" w:cs="Arial"/>
                <w:sz w:val="24"/>
                <w:szCs w:val="24"/>
              </w:rPr>
            </w:pPr>
            <w:r w:rsidRPr="005415A5">
              <w:rPr>
                <w:rFonts w:ascii="Arial" w:eastAsia="Imprima" w:hAnsi="Arial" w:cs="Arial"/>
                <w:sz w:val="24"/>
                <w:szCs w:val="24"/>
              </w:rPr>
              <w:t xml:space="preserve">Personal, Social, Emotional </w:t>
            </w:r>
            <w:r w:rsidR="00F10086" w:rsidRPr="005415A5">
              <w:rPr>
                <w:rFonts w:ascii="Arial" w:eastAsia="Imprima" w:hAnsi="Arial" w:cs="Arial"/>
                <w:sz w:val="24"/>
                <w:szCs w:val="24"/>
              </w:rPr>
              <w:t xml:space="preserve">development </w:t>
            </w:r>
            <w:r w:rsidR="00F10086">
              <w:rPr>
                <w:rFonts w:ascii="Arial" w:eastAsia="Imprima" w:hAnsi="Arial" w:cs="Arial"/>
                <w:sz w:val="24"/>
                <w:szCs w:val="24"/>
              </w:rPr>
              <w:t>- making relationships/self-confidence/self-awareness/managing feelings and behaviour</w:t>
            </w:r>
          </w:p>
          <w:p w14:paraId="6C489B4C" w14:textId="4ABCE597" w:rsidR="005415A5" w:rsidRDefault="005415A5" w:rsidP="0022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Imprima" w:hAnsi="Arial" w:cs="Arial"/>
                <w:sz w:val="24"/>
                <w:szCs w:val="24"/>
              </w:rPr>
            </w:pPr>
            <w:r w:rsidRPr="005415A5">
              <w:rPr>
                <w:rFonts w:ascii="Arial" w:eastAsia="Imprima" w:hAnsi="Arial" w:cs="Arial"/>
                <w:sz w:val="24"/>
                <w:szCs w:val="24"/>
              </w:rPr>
              <w:t>Communication and Language</w:t>
            </w:r>
            <w:r w:rsidR="00F10086">
              <w:rPr>
                <w:rFonts w:ascii="Arial" w:eastAsia="Imprima" w:hAnsi="Arial" w:cs="Arial"/>
                <w:sz w:val="24"/>
                <w:szCs w:val="24"/>
              </w:rPr>
              <w:t xml:space="preserve"> – listening and attention/understanding/speaking</w:t>
            </w:r>
          </w:p>
          <w:p w14:paraId="299D97E5" w14:textId="1DD8FC98" w:rsidR="006B1C94" w:rsidRDefault="006B1C94" w:rsidP="0022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Imprima" w:hAnsi="Arial" w:cs="Arial"/>
                <w:sz w:val="24"/>
                <w:szCs w:val="24"/>
              </w:rPr>
            </w:pPr>
          </w:p>
          <w:p w14:paraId="285F02E0" w14:textId="7374D57D" w:rsidR="006B1C94" w:rsidRPr="006B1C94" w:rsidRDefault="006B1C94" w:rsidP="0022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Imprima" w:hAnsi="Arial" w:cs="Arial"/>
                <w:b/>
                <w:sz w:val="24"/>
                <w:szCs w:val="24"/>
              </w:rPr>
            </w:pPr>
            <w:r w:rsidRPr="006B1C94">
              <w:rPr>
                <w:rFonts w:ascii="Arial" w:eastAsia="Imprima" w:hAnsi="Arial" w:cs="Arial"/>
                <w:b/>
                <w:sz w:val="24"/>
                <w:szCs w:val="24"/>
              </w:rPr>
              <w:t>Specific Areas:</w:t>
            </w:r>
          </w:p>
          <w:p w14:paraId="73FD76E4" w14:textId="1FF931AB" w:rsidR="005415A5" w:rsidRPr="006B1C94" w:rsidRDefault="006B1C94" w:rsidP="0022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6B1C94">
              <w:rPr>
                <w:rFonts w:ascii="Arial" w:eastAsia="Times New Roman" w:hAnsi="Arial" w:cs="Arial"/>
                <w:sz w:val="24"/>
                <w:lang w:eastAsia="en-GB"/>
              </w:rPr>
              <w:t>Literacy</w:t>
            </w:r>
            <w:r w:rsidR="00F10086">
              <w:rPr>
                <w:rFonts w:ascii="Arial" w:eastAsia="Times New Roman" w:hAnsi="Arial" w:cs="Arial"/>
                <w:sz w:val="24"/>
                <w:lang w:eastAsia="en-GB"/>
              </w:rPr>
              <w:t xml:space="preserve"> – reading/writing</w:t>
            </w:r>
          </w:p>
          <w:p w14:paraId="5AE8EA10" w14:textId="7B141C35" w:rsidR="006B1C94" w:rsidRPr="006B1C94" w:rsidRDefault="006B1C94" w:rsidP="0022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6B1C94">
              <w:rPr>
                <w:rFonts w:ascii="Arial" w:eastAsia="Times New Roman" w:hAnsi="Arial" w:cs="Arial"/>
                <w:sz w:val="24"/>
                <w:lang w:eastAsia="en-GB"/>
              </w:rPr>
              <w:t>Maths</w:t>
            </w:r>
            <w:r w:rsidR="00F10086">
              <w:rPr>
                <w:rFonts w:ascii="Arial" w:eastAsia="Times New Roman" w:hAnsi="Arial" w:cs="Arial"/>
                <w:sz w:val="24"/>
                <w:lang w:eastAsia="en-GB"/>
              </w:rPr>
              <w:t xml:space="preserve"> – numbers/shape and space</w:t>
            </w:r>
          </w:p>
          <w:p w14:paraId="330DF0D7" w14:textId="6F6CD63D" w:rsidR="006B1C94" w:rsidRPr="006B1C94" w:rsidRDefault="006B1C94" w:rsidP="00FE0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6B1C94">
              <w:rPr>
                <w:rFonts w:ascii="Arial" w:eastAsia="Times New Roman" w:hAnsi="Arial" w:cs="Arial"/>
                <w:sz w:val="24"/>
                <w:lang w:eastAsia="en-GB"/>
              </w:rPr>
              <w:t>Understanding the World</w:t>
            </w:r>
            <w:r w:rsidR="00F10086">
              <w:rPr>
                <w:rFonts w:ascii="Arial" w:eastAsia="Times New Roman" w:hAnsi="Arial" w:cs="Arial"/>
                <w:sz w:val="24"/>
                <w:lang w:eastAsia="en-GB"/>
              </w:rPr>
              <w:t xml:space="preserve"> – people and communities/the world/technology</w:t>
            </w:r>
          </w:p>
          <w:p w14:paraId="08AEC651" w14:textId="47BB4BF0" w:rsidR="006B1C94" w:rsidRPr="00FE09AD" w:rsidRDefault="006B1C94" w:rsidP="00FE0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Imprima" w:hAnsi="Arial" w:cs="Arial"/>
                <w:b/>
                <w:sz w:val="24"/>
                <w:szCs w:val="24"/>
              </w:rPr>
            </w:pPr>
            <w:r w:rsidRPr="006B1C94">
              <w:rPr>
                <w:rFonts w:ascii="Arial" w:eastAsia="Times New Roman" w:hAnsi="Arial" w:cs="Arial"/>
                <w:sz w:val="24"/>
                <w:lang w:eastAsia="en-GB"/>
              </w:rPr>
              <w:t>Expressive art and design</w:t>
            </w:r>
            <w:r w:rsidR="00F10086">
              <w:rPr>
                <w:rFonts w:ascii="Arial" w:eastAsia="Times New Roman" w:hAnsi="Arial" w:cs="Arial"/>
                <w:sz w:val="24"/>
                <w:lang w:eastAsia="en-GB"/>
              </w:rPr>
              <w:t xml:space="preserve"> – exploring and using materials and media/being imaginative</w:t>
            </w:r>
          </w:p>
        </w:tc>
      </w:tr>
      <w:tr w:rsidR="00F10086" w:rsidRPr="00273693" w14:paraId="58D003A6" w14:textId="77777777" w:rsidTr="002270CD">
        <w:tc>
          <w:tcPr>
            <w:tcW w:w="15388" w:type="dxa"/>
            <w:shd w:val="clear" w:color="auto" w:fill="B4C6E7" w:themeFill="accent1" w:themeFillTint="66"/>
          </w:tcPr>
          <w:p w14:paraId="5EEA2D12" w14:textId="556B45E5" w:rsidR="00F10086" w:rsidRPr="002270CD" w:rsidRDefault="002270CD" w:rsidP="002270CD">
            <w:pPr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Characteristic of Learning:</w:t>
            </w:r>
          </w:p>
        </w:tc>
      </w:tr>
      <w:tr w:rsidR="00FE09AD" w:rsidRPr="00273693" w14:paraId="6F973C0C" w14:textId="77777777" w:rsidTr="002270CD">
        <w:tc>
          <w:tcPr>
            <w:tcW w:w="15388" w:type="dxa"/>
          </w:tcPr>
          <w:p w14:paraId="6BF9379C" w14:textId="2E84B884" w:rsidR="006B1C94" w:rsidRPr="006B1C94" w:rsidRDefault="006B1C94" w:rsidP="006B1C9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1C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Active Learning</w:t>
            </w:r>
            <w:r w:rsidR="00F1008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being involved/concentrating/keeping trying/enjoying achieving what they set out to do</w:t>
            </w:r>
          </w:p>
          <w:p w14:paraId="17AC7FCC" w14:textId="38B946DC" w:rsidR="006B1C94" w:rsidRPr="006B1C94" w:rsidRDefault="006B1C94" w:rsidP="006B1C9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1C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Playing and exploring</w:t>
            </w:r>
            <w:r w:rsidR="00F1008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finding out and exploring/playing with what they </w:t>
            </w:r>
            <w:proofErr w:type="gramStart"/>
            <w:r w:rsidR="00F1008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know/being</w:t>
            </w:r>
            <w:proofErr w:type="gramEnd"/>
            <w:r w:rsidR="00F1008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willing to ‘have a go’</w:t>
            </w:r>
          </w:p>
          <w:p w14:paraId="1EEEB877" w14:textId="564B4891" w:rsidR="006B1C94" w:rsidRPr="006B1C94" w:rsidRDefault="006B1C94" w:rsidP="006B1C9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1C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Creating and thinking critically</w:t>
            </w:r>
            <w:r w:rsidR="00F1008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having their own ideas/making links/choosing ways to do things</w:t>
            </w:r>
          </w:p>
          <w:p w14:paraId="50553320" w14:textId="54945F79" w:rsidR="006B1C94" w:rsidRPr="006B1C94" w:rsidRDefault="006B1C94" w:rsidP="006B1C9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F481EDC" w14:textId="5ADEC7D1" w:rsidR="00EE3E15" w:rsidRDefault="00EE3E15" w:rsidP="00C17E90">
      <w:pPr>
        <w:rPr>
          <w:rFonts w:ascii="Arial" w:hAnsi="Arial" w:cs="Arial"/>
          <w:sz w:val="24"/>
          <w:szCs w:val="24"/>
        </w:rPr>
      </w:pPr>
    </w:p>
    <w:p w14:paraId="2FA48BD2" w14:textId="737CB667" w:rsidR="00EE44C0" w:rsidRDefault="00EE44C0" w:rsidP="00C17E90">
      <w:pPr>
        <w:rPr>
          <w:rFonts w:ascii="Arial" w:hAnsi="Arial" w:cs="Arial"/>
          <w:sz w:val="24"/>
          <w:szCs w:val="24"/>
        </w:rPr>
      </w:pPr>
    </w:p>
    <w:p w14:paraId="126E8768" w14:textId="6CCB12F4" w:rsidR="00EE44C0" w:rsidRDefault="00EE44C0" w:rsidP="00C17E90">
      <w:pPr>
        <w:rPr>
          <w:rFonts w:ascii="Arial" w:hAnsi="Arial" w:cs="Arial"/>
          <w:sz w:val="24"/>
          <w:szCs w:val="24"/>
        </w:rPr>
      </w:pPr>
    </w:p>
    <w:p w14:paraId="6F0FF413" w14:textId="77777777" w:rsidR="00EE44C0" w:rsidRPr="00EE44C0" w:rsidRDefault="00EE44C0" w:rsidP="00EE44C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93939"/>
          <w:sz w:val="20"/>
          <w:szCs w:val="20"/>
          <w:lang w:eastAsia="en-GB"/>
        </w:rPr>
      </w:pPr>
    </w:p>
    <w:p w14:paraId="3C516DB3" w14:textId="77777777" w:rsidR="00EE44C0" w:rsidRDefault="00EE44C0" w:rsidP="00C17E90">
      <w:pPr>
        <w:rPr>
          <w:rFonts w:ascii="Arial" w:hAnsi="Arial" w:cs="Arial"/>
          <w:sz w:val="24"/>
          <w:szCs w:val="24"/>
        </w:rPr>
      </w:pPr>
    </w:p>
    <w:sectPr w:rsidR="00EE44C0" w:rsidSect="005D0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5A909" w14:textId="77777777" w:rsidR="00FC5AF2" w:rsidRDefault="00FC5AF2" w:rsidP="0073183A">
      <w:pPr>
        <w:spacing w:after="0" w:line="240" w:lineRule="auto"/>
      </w:pPr>
      <w:r>
        <w:separator/>
      </w:r>
    </w:p>
  </w:endnote>
  <w:endnote w:type="continuationSeparator" w:id="0">
    <w:p w14:paraId="5E01DEAC" w14:textId="77777777" w:rsidR="00FC5AF2" w:rsidRDefault="00FC5AF2" w:rsidP="0073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m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6C3CE" w14:textId="77777777" w:rsidR="00FC5AF2" w:rsidRDefault="00FC5AF2" w:rsidP="0073183A">
      <w:pPr>
        <w:spacing w:after="0" w:line="240" w:lineRule="auto"/>
      </w:pPr>
      <w:r>
        <w:separator/>
      </w:r>
    </w:p>
  </w:footnote>
  <w:footnote w:type="continuationSeparator" w:id="0">
    <w:p w14:paraId="5C3D216D" w14:textId="77777777" w:rsidR="00FC5AF2" w:rsidRDefault="00FC5AF2" w:rsidP="0073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3608"/>
    <w:multiLevelType w:val="multilevel"/>
    <w:tmpl w:val="20DA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1754C"/>
    <w:multiLevelType w:val="hybridMultilevel"/>
    <w:tmpl w:val="79DA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535D"/>
    <w:multiLevelType w:val="hybridMultilevel"/>
    <w:tmpl w:val="A994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1674"/>
    <w:multiLevelType w:val="multilevel"/>
    <w:tmpl w:val="4E30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11835"/>
    <w:multiLevelType w:val="hybridMultilevel"/>
    <w:tmpl w:val="A0127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0803"/>
    <w:multiLevelType w:val="hybridMultilevel"/>
    <w:tmpl w:val="AC40A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BDB"/>
    <w:multiLevelType w:val="multilevel"/>
    <w:tmpl w:val="4E30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039E0"/>
    <w:multiLevelType w:val="hybridMultilevel"/>
    <w:tmpl w:val="138AE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4E9F"/>
    <w:multiLevelType w:val="multilevel"/>
    <w:tmpl w:val="EF4E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6134A"/>
    <w:multiLevelType w:val="multilevel"/>
    <w:tmpl w:val="649E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C6C58"/>
    <w:multiLevelType w:val="multilevel"/>
    <w:tmpl w:val="6A66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05974"/>
    <w:multiLevelType w:val="hybridMultilevel"/>
    <w:tmpl w:val="1040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C7"/>
    <w:rsid w:val="00007055"/>
    <w:rsid w:val="00060F4B"/>
    <w:rsid w:val="0007046C"/>
    <w:rsid w:val="0007685A"/>
    <w:rsid w:val="000975E9"/>
    <w:rsid w:val="000B23CF"/>
    <w:rsid w:val="000C6B7C"/>
    <w:rsid w:val="00117B82"/>
    <w:rsid w:val="001641FD"/>
    <w:rsid w:val="001C17A1"/>
    <w:rsid w:val="002270CD"/>
    <w:rsid w:val="00273693"/>
    <w:rsid w:val="002D5BBF"/>
    <w:rsid w:val="002E197D"/>
    <w:rsid w:val="0032556B"/>
    <w:rsid w:val="00326E82"/>
    <w:rsid w:val="00397DC1"/>
    <w:rsid w:val="003D6329"/>
    <w:rsid w:val="004115EF"/>
    <w:rsid w:val="004229A2"/>
    <w:rsid w:val="00431C42"/>
    <w:rsid w:val="00465C5F"/>
    <w:rsid w:val="004B2ED0"/>
    <w:rsid w:val="004C3505"/>
    <w:rsid w:val="00505475"/>
    <w:rsid w:val="005415A5"/>
    <w:rsid w:val="00581241"/>
    <w:rsid w:val="00592CDE"/>
    <w:rsid w:val="005C6C46"/>
    <w:rsid w:val="005D01D8"/>
    <w:rsid w:val="005F1E26"/>
    <w:rsid w:val="00642445"/>
    <w:rsid w:val="006742F8"/>
    <w:rsid w:val="006A0806"/>
    <w:rsid w:val="006B1C94"/>
    <w:rsid w:val="0071639F"/>
    <w:rsid w:val="007275BA"/>
    <w:rsid w:val="0073183A"/>
    <w:rsid w:val="007416F7"/>
    <w:rsid w:val="00771503"/>
    <w:rsid w:val="007E493D"/>
    <w:rsid w:val="00816679"/>
    <w:rsid w:val="00823E92"/>
    <w:rsid w:val="008361EA"/>
    <w:rsid w:val="008A44DB"/>
    <w:rsid w:val="00921DA1"/>
    <w:rsid w:val="00935908"/>
    <w:rsid w:val="00942885"/>
    <w:rsid w:val="00943776"/>
    <w:rsid w:val="009538B5"/>
    <w:rsid w:val="00986A59"/>
    <w:rsid w:val="009C6AC7"/>
    <w:rsid w:val="009F1B1B"/>
    <w:rsid w:val="00A432AE"/>
    <w:rsid w:val="00A90090"/>
    <w:rsid w:val="00AA77DE"/>
    <w:rsid w:val="00B52BE4"/>
    <w:rsid w:val="00BC2F92"/>
    <w:rsid w:val="00BD5F3E"/>
    <w:rsid w:val="00C07753"/>
    <w:rsid w:val="00C17E90"/>
    <w:rsid w:val="00C743BB"/>
    <w:rsid w:val="00C945A3"/>
    <w:rsid w:val="00CD25D9"/>
    <w:rsid w:val="00D42E4A"/>
    <w:rsid w:val="00D86F9F"/>
    <w:rsid w:val="00E375D8"/>
    <w:rsid w:val="00E86551"/>
    <w:rsid w:val="00EE3E15"/>
    <w:rsid w:val="00EE44C0"/>
    <w:rsid w:val="00EF2269"/>
    <w:rsid w:val="00F025DF"/>
    <w:rsid w:val="00F10086"/>
    <w:rsid w:val="00F21CD0"/>
    <w:rsid w:val="00F471BC"/>
    <w:rsid w:val="00F67E25"/>
    <w:rsid w:val="00F81E22"/>
    <w:rsid w:val="00F823AE"/>
    <w:rsid w:val="00F83581"/>
    <w:rsid w:val="00F910EF"/>
    <w:rsid w:val="00F9501A"/>
    <w:rsid w:val="00F95B8D"/>
    <w:rsid w:val="00FA35D0"/>
    <w:rsid w:val="00FA3C53"/>
    <w:rsid w:val="00FC5AF2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A14C"/>
  <w15:docId w15:val="{740B0E3E-C40F-4E26-A803-391DEDA1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AC7"/>
    <w:pPr>
      <w:ind w:left="720"/>
      <w:contextualSpacing/>
    </w:pPr>
  </w:style>
  <w:style w:type="table" w:styleId="TableGrid">
    <w:name w:val="Table Grid"/>
    <w:basedOn w:val="TableNormal"/>
    <w:uiPriority w:val="39"/>
    <w:rsid w:val="005D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link w:val="TableTitleChar"/>
    <w:qFormat/>
    <w:rsid w:val="005D01D8"/>
    <w:pPr>
      <w:keepNext/>
    </w:pPr>
    <w:rPr>
      <w:rFonts w:ascii="Arial" w:hAnsi="Arial" w:cs="Arial"/>
      <w:b/>
      <w:sz w:val="28"/>
      <w:szCs w:val="28"/>
    </w:rPr>
  </w:style>
  <w:style w:type="character" w:customStyle="1" w:styleId="TableTitleChar">
    <w:name w:val="Table Title Char"/>
    <w:basedOn w:val="DefaultParagraphFont"/>
    <w:link w:val="TableTitle"/>
    <w:rsid w:val="005D01D8"/>
    <w:rPr>
      <w:rFonts w:ascii="Arial" w:hAnsi="Arial" w:cs="Arial"/>
      <w:b/>
      <w:sz w:val="28"/>
      <w:szCs w:val="28"/>
    </w:rPr>
  </w:style>
  <w:style w:type="paragraph" w:styleId="NoSpacing">
    <w:name w:val="No Spacing"/>
    <w:uiPriority w:val="1"/>
    <w:qFormat/>
    <w:rsid w:val="005D01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5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E44C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E44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EE44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3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83A"/>
  </w:style>
  <w:style w:type="paragraph" w:styleId="Footer">
    <w:name w:val="footer"/>
    <w:basedOn w:val="Normal"/>
    <w:link w:val="FooterChar"/>
    <w:uiPriority w:val="99"/>
    <w:unhideWhenUsed/>
    <w:rsid w:val="0073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83A"/>
  </w:style>
  <w:style w:type="paragraph" w:customStyle="1" w:styleId="Copyrightfootertext">
    <w:name w:val="Copyright footer text"/>
    <w:basedOn w:val="Footer"/>
    <w:link w:val="CopyrightfootertextChar"/>
    <w:uiPriority w:val="99"/>
    <w:rsid w:val="0073183A"/>
    <w:pPr>
      <w:tabs>
        <w:tab w:val="clear" w:pos="4513"/>
        <w:tab w:val="clear" w:pos="9026"/>
        <w:tab w:val="center" w:pos="4153"/>
        <w:tab w:val="right" w:pos="8306"/>
      </w:tabs>
      <w:spacing w:after="80"/>
    </w:pPr>
    <w:rPr>
      <w:rFonts w:ascii="Arial" w:eastAsia="Cambria" w:hAnsi="Arial" w:cs="Arial"/>
      <w:bCs/>
      <w:sz w:val="18"/>
      <w:lang w:val="en-US" w:eastAsia="en-GB"/>
    </w:rPr>
  </w:style>
  <w:style w:type="character" w:customStyle="1" w:styleId="CopyrightfootertextChar">
    <w:name w:val="Copyright footer text Char"/>
    <w:link w:val="Copyrightfootertext"/>
    <w:uiPriority w:val="99"/>
    <w:locked/>
    <w:rsid w:val="0073183A"/>
    <w:rPr>
      <w:rFonts w:ascii="Arial" w:eastAsia="Cambria" w:hAnsi="Arial" w:cs="Arial"/>
      <w:bCs/>
      <w:sz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868BB94F94E408A46DDC3C5261993" ma:contentTypeVersion="13" ma:contentTypeDescription="Create a new document." ma:contentTypeScope="" ma:versionID="f0845d0e3a26b8a3b5366615575fe405">
  <xsd:schema xmlns:xsd="http://www.w3.org/2001/XMLSchema" xmlns:xs="http://www.w3.org/2001/XMLSchema" xmlns:p="http://schemas.microsoft.com/office/2006/metadata/properties" xmlns:ns3="5c5266ad-2b6f-4ac0-9ca4-726dafd0d1e4" xmlns:ns4="98940b50-e38f-4193-851d-a367e67bb7a3" targetNamespace="http://schemas.microsoft.com/office/2006/metadata/properties" ma:root="true" ma:fieldsID="55950c282c6e62f1a2365b9487c66fa7" ns3:_="" ns4:_="">
    <xsd:import namespace="5c5266ad-2b6f-4ac0-9ca4-726dafd0d1e4"/>
    <xsd:import namespace="98940b50-e38f-4193-851d-a367e67bb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6ad-2b6f-4ac0-9ca4-726dafd0d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0b50-e38f-4193-851d-a367e67bb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E6C07-F7F3-482B-90ED-EF32EE742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246D9-89D3-415E-808C-F21EC234B676}">
  <ds:schemaRefs>
    <ds:schemaRef ds:uri="http://purl.org/dc/elements/1.1/"/>
    <ds:schemaRef ds:uri="http://purl.org/dc/dcmitype/"/>
    <ds:schemaRef ds:uri="http://www.w3.org/XML/1998/namespace"/>
    <ds:schemaRef ds:uri="5c5266ad-2b6f-4ac0-9ca4-726dafd0d1e4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8940b50-e38f-4193-851d-a367e67bb7a3"/>
  </ds:schemaRefs>
</ds:datastoreItem>
</file>

<file path=customXml/itemProps3.xml><?xml version="1.0" encoding="utf-8"?>
<ds:datastoreItem xmlns:ds="http://schemas.openxmlformats.org/officeDocument/2006/customXml" ds:itemID="{6B3A3EE6-8BB1-4629-B099-0738F91E9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266ad-2b6f-4ac0-9ca4-726dafd0d1e4"/>
    <ds:schemaRef ds:uri="98940b50-e38f-4193-851d-a367e67bb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Ilfracombe Juniors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Gillon</dc:creator>
  <cp:lastModifiedBy>Lizzie Lethbridge</cp:lastModifiedBy>
  <cp:revision>2</cp:revision>
  <cp:lastPrinted>2020-06-08T08:51:00Z</cp:lastPrinted>
  <dcterms:created xsi:type="dcterms:W3CDTF">2020-12-14T11:51:00Z</dcterms:created>
  <dcterms:modified xsi:type="dcterms:W3CDTF">2020-12-14T11:51:00Z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0x010100D4C868BB94F94E408A46DDC3C5261993</vt:lpwstr>
  </property>
</Properties>
</file>